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42" w:rsidRDefault="00124F42" w:rsidP="00124F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MaxiVita </w:t>
      </w:r>
      <w:r w:rsidR="00434F56">
        <w:rPr>
          <w:rFonts w:ascii="Arial" w:hAnsi="Arial" w:cs="Arial"/>
          <w:b/>
          <w:bCs/>
        </w:rPr>
        <w:t>Multivitamin</w:t>
      </w:r>
    </w:p>
    <w:p w:rsidR="00136789" w:rsidRDefault="00A177F1" w:rsidP="00BA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Complex protection of the organism</w:t>
      </w:r>
    </w:p>
    <w:p w:rsidR="00434F56" w:rsidRDefault="00434F56" w:rsidP="00BA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12DF" w:rsidRDefault="00A177F1" w:rsidP="00BA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Food supplement</w:t>
      </w:r>
    </w:p>
    <w:p w:rsidR="00BA12DF" w:rsidRDefault="00A177F1" w:rsidP="00BA1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 tablets</w:t>
      </w:r>
    </w:p>
    <w:p w:rsidR="00BA12DF" w:rsidRDefault="00BA12DF" w:rsidP="00BA12DF">
      <w:pPr>
        <w:pStyle w:val="Brezrazmikov"/>
        <w:rPr>
          <w:rFonts w:ascii="Arial" w:hAnsi="Arial" w:cs="Arial"/>
          <w:i/>
          <w:color w:val="FF0000"/>
        </w:rPr>
      </w:pPr>
    </w:p>
    <w:p w:rsidR="00BA12DF" w:rsidRPr="00692A54" w:rsidRDefault="00A177F1" w:rsidP="00BA12DF">
      <w:pPr>
        <w:pStyle w:val="Brezrazmikov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dosage</w:t>
      </w:r>
      <w:r w:rsidR="007F47D1" w:rsidRPr="00692A54">
        <w:rPr>
          <w:rFonts w:ascii="Arial" w:hAnsi="Arial" w:cs="Arial"/>
          <w:i/>
          <w:color w:val="000000" w:themeColor="text1"/>
        </w:rPr>
        <w:t xml:space="preserve"> </w:t>
      </w:r>
      <w:r w:rsidR="00BA12DF" w:rsidRPr="00692A54">
        <w:rPr>
          <w:rFonts w:ascii="Arial" w:hAnsi="Arial" w:cs="Arial"/>
          <w:i/>
          <w:color w:val="000000" w:themeColor="text1"/>
        </w:rPr>
        <w:t>1 tablet d</w:t>
      </w:r>
      <w:r>
        <w:rPr>
          <w:rFonts w:ascii="Arial" w:hAnsi="Arial" w:cs="Arial"/>
          <w:i/>
          <w:color w:val="000000" w:themeColor="text1"/>
        </w:rPr>
        <w:t>aily</w:t>
      </w:r>
      <w:r w:rsidR="00E16438" w:rsidRPr="00692A54">
        <w:rPr>
          <w:rFonts w:ascii="Arial" w:hAnsi="Arial" w:cs="Arial"/>
          <w:i/>
          <w:color w:val="000000" w:themeColor="text1"/>
        </w:rPr>
        <w:t xml:space="preserve"> </w:t>
      </w:r>
    </w:p>
    <w:p w:rsidR="00BA12DF" w:rsidRPr="00692A54" w:rsidRDefault="00A177F1" w:rsidP="00BA12DF">
      <w:pPr>
        <w:pStyle w:val="Brezrazmikov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Easy to swallow</w:t>
      </w:r>
    </w:p>
    <w:p w:rsidR="00F44556" w:rsidRPr="00F44556" w:rsidRDefault="00F44556" w:rsidP="00F44556">
      <w:pPr>
        <w:pStyle w:val="Brezrazmikov"/>
        <w:jc w:val="both"/>
        <w:rPr>
          <w:rFonts w:ascii="Arial" w:hAnsi="Arial" w:cs="Arial"/>
        </w:rPr>
      </w:pPr>
    </w:p>
    <w:p w:rsidR="0085192A" w:rsidRDefault="00A177F1" w:rsidP="00434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One tablet contains </w:t>
      </w:r>
      <w:r w:rsidR="00434F56" w:rsidRPr="00434F56">
        <w:rPr>
          <w:rFonts w:ascii="Arial" w:hAnsi="Arial" w:cs="Arial"/>
        </w:rPr>
        <w:t>100</w:t>
      </w:r>
      <w:r w:rsidR="008C4A96">
        <w:rPr>
          <w:rFonts w:ascii="Arial" w:hAnsi="Arial" w:cs="Arial"/>
        </w:rPr>
        <w:t xml:space="preserve"> </w:t>
      </w:r>
      <w:r w:rsidR="00434F56" w:rsidRPr="00434F56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of recommended daily dosage of ten important vitamins</w:t>
      </w:r>
      <w:r w:rsidR="008519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are vital for the body. </w:t>
      </w:r>
      <w:r w:rsidR="0085192A">
        <w:rPr>
          <w:rFonts w:ascii="Arial" w:hAnsi="Arial" w:cs="Arial"/>
        </w:rPr>
        <w:t>Vitamin</w:t>
      </w:r>
      <w:r>
        <w:rPr>
          <w:rFonts w:ascii="Arial" w:hAnsi="Arial" w:cs="Arial"/>
        </w:rPr>
        <w:t>s</w:t>
      </w:r>
      <w:r w:rsidR="0085192A">
        <w:rPr>
          <w:rFonts w:ascii="Arial" w:hAnsi="Arial" w:cs="Arial"/>
        </w:rPr>
        <w:t xml:space="preserve"> C a</w:t>
      </w:r>
      <w:r>
        <w:rPr>
          <w:rFonts w:ascii="Arial" w:hAnsi="Arial" w:cs="Arial"/>
        </w:rPr>
        <w:t>nd</w:t>
      </w:r>
      <w:r w:rsidR="0085192A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are significant antioxidants</w:t>
      </w:r>
      <w:r w:rsidR="008519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protect the organism against effects of free radicals and boost the immune system</w:t>
      </w:r>
      <w:r w:rsidR="0085192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</w:t>
      </w:r>
      <w:r w:rsidR="008C4A96">
        <w:rPr>
          <w:rFonts w:ascii="Arial" w:hAnsi="Arial" w:cs="Arial"/>
        </w:rPr>
        <w:t>-group vitamins</w:t>
      </w:r>
      <w:r>
        <w:rPr>
          <w:rFonts w:ascii="Arial" w:hAnsi="Arial" w:cs="Arial"/>
        </w:rPr>
        <w:t xml:space="preserve"> are important for the functioning of the human organism</w:t>
      </w:r>
      <w:r w:rsidR="0085192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For example vitamin</w:t>
      </w:r>
      <w:r w:rsidR="0085192A">
        <w:rPr>
          <w:rFonts w:ascii="Arial" w:hAnsi="Arial" w:cs="Arial"/>
        </w:rPr>
        <w:t xml:space="preserve"> B6</w:t>
      </w:r>
      <w:r>
        <w:rPr>
          <w:rFonts w:ascii="Arial" w:hAnsi="Arial" w:cs="Arial"/>
        </w:rPr>
        <w:t xml:space="preserve"> has a positive effect on the functioning of the nervous system</w:t>
      </w:r>
      <w:r w:rsidR="008519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it helps with the creation of red blood cells and thus it can contribute to the reduction of the feeling of tiredness</w:t>
      </w:r>
      <w:r w:rsidR="0085192A">
        <w:rPr>
          <w:rFonts w:ascii="Arial" w:hAnsi="Arial" w:cs="Arial"/>
        </w:rPr>
        <w:t>.</w:t>
      </w:r>
    </w:p>
    <w:p w:rsidR="0085192A" w:rsidRDefault="0085192A" w:rsidP="00434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002A" w:rsidRPr="00434F56" w:rsidRDefault="00384B49" w:rsidP="00434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4B49">
        <w:rPr>
          <w:rFonts w:ascii="Arial" w:hAnsi="Arial" w:cs="Arial"/>
        </w:rPr>
        <w:t>It is recommended to everyone to use these vitamins mainly in winter and pre-spring season, when there is generally a low amount of vitamins in our food. Mainly it is recommended to the so called risk groups – women using hormonal contraception, adolescents, older people, smokers, alcohol consumers</w:t>
      </w:r>
      <w:r w:rsidR="00434F56" w:rsidRPr="00384B49">
        <w:rPr>
          <w:rFonts w:ascii="Arial" w:hAnsi="Arial" w:cs="Arial"/>
        </w:rPr>
        <w:t>,</w:t>
      </w:r>
      <w:r w:rsidRPr="00384B49">
        <w:rPr>
          <w:rFonts w:ascii="Arial" w:hAnsi="Arial" w:cs="Arial"/>
        </w:rPr>
        <w:t xml:space="preserve"> sportsmen, people with higher physical activity or those on a diet. </w:t>
      </w:r>
    </w:p>
    <w:p w:rsidR="00434F56" w:rsidRPr="00ED7148" w:rsidRDefault="00434F56" w:rsidP="004300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</w:rPr>
      </w:pPr>
    </w:p>
    <w:p w:rsidR="007E7079" w:rsidRDefault="007E7079" w:rsidP="003A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C54E9" w:rsidRDefault="006C54E9" w:rsidP="006C54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MaxiVita </w:t>
      </w:r>
      <w:r w:rsidR="0085192A">
        <w:rPr>
          <w:rFonts w:ascii="Arial" w:hAnsi="Arial" w:cs="Arial"/>
          <w:b/>
          <w:bCs/>
        </w:rPr>
        <w:t>Multivitamin</w:t>
      </w:r>
    </w:p>
    <w:p w:rsidR="0085192A" w:rsidRDefault="0085192A" w:rsidP="00D81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18A1" w:rsidRDefault="00A177F1" w:rsidP="00D81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Food supplement</w:t>
      </w:r>
      <w:r w:rsidR="00D818A1">
        <w:rPr>
          <w:rFonts w:ascii="Arial" w:hAnsi="Arial" w:cs="Arial"/>
        </w:rPr>
        <w:t xml:space="preserve"> – </w:t>
      </w:r>
      <w:r w:rsidR="004C253C">
        <w:rPr>
          <w:rFonts w:ascii="Arial" w:hAnsi="Arial" w:cs="Arial"/>
        </w:rPr>
        <w:t>vitamin tablet</w:t>
      </w:r>
      <w:r>
        <w:rPr>
          <w:rFonts w:ascii="Arial" w:hAnsi="Arial" w:cs="Arial"/>
        </w:rPr>
        <w:t>s</w:t>
      </w:r>
      <w:r w:rsidR="00D818A1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INFORMATION FOR DIABETICS</w:t>
      </w:r>
      <w:r w:rsidR="00692A54" w:rsidRPr="00692A5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sugar free</w:t>
      </w:r>
      <w:r w:rsidR="00692A54">
        <w:rPr>
          <w:rFonts w:ascii="Arial" w:hAnsi="Arial" w:cs="Arial"/>
        </w:rPr>
        <w:t>.</w:t>
      </w:r>
    </w:p>
    <w:p w:rsidR="00D818A1" w:rsidRDefault="00D818A1" w:rsidP="00D81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18A1" w:rsidRDefault="00A177F1" w:rsidP="00D81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Recommended dosage</w:t>
      </w:r>
      <w:r w:rsidR="00434F56" w:rsidRPr="00434F56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 adults and children from </w:t>
      </w:r>
      <w:r w:rsidR="004C253C">
        <w:rPr>
          <w:rFonts w:ascii="Arial" w:hAnsi="Arial" w:cs="Arial"/>
        </w:rPr>
        <w:t xml:space="preserve">12 </w:t>
      </w:r>
      <w:r>
        <w:rPr>
          <w:rFonts w:ascii="Arial" w:hAnsi="Arial" w:cs="Arial"/>
        </w:rPr>
        <w:t>years</w:t>
      </w:r>
      <w:r w:rsidR="004C253C">
        <w:rPr>
          <w:rFonts w:ascii="Arial" w:hAnsi="Arial" w:cs="Arial"/>
        </w:rPr>
        <w:t xml:space="preserve"> </w:t>
      </w:r>
      <w:r w:rsidR="00434F56" w:rsidRPr="00434F56">
        <w:rPr>
          <w:rFonts w:ascii="Arial" w:hAnsi="Arial" w:cs="Arial"/>
        </w:rPr>
        <w:t>1 tablet</w:t>
      </w:r>
      <w:r>
        <w:rPr>
          <w:rFonts w:ascii="Arial" w:hAnsi="Arial" w:cs="Arial"/>
        </w:rPr>
        <w:t xml:space="preserve"> daily after a meal</w:t>
      </w:r>
      <w:r w:rsidR="004C253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drink down with enough water. Not intended for children under </w:t>
      </w:r>
      <w:r w:rsidR="004C253C">
        <w:rPr>
          <w:rFonts w:ascii="Arial" w:hAnsi="Arial" w:cs="Arial"/>
        </w:rPr>
        <w:t>12</w:t>
      </w:r>
      <w:r w:rsidR="00434F56" w:rsidRPr="00434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years</w:t>
      </w:r>
      <w:r w:rsidR="00434F56" w:rsidRPr="00434F5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Do not exceed the recommended daily dosage. This product is not intended as a substitute for a varied diet. </w:t>
      </w:r>
    </w:p>
    <w:p w:rsidR="00434F56" w:rsidRDefault="00434F56" w:rsidP="00692A54">
      <w:pPr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  <w:gridCol w:w="4536"/>
      </w:tblGrid>
      <w:tr w:rsidR="00434F56" w:rsidRPr="00434F56" w:rsidTr="0039467A">
        <w:tc>
          <w:tcPr>
            <w:tcW w:w="4219" w:type="dxa"/>
            <w:hideMark/>
          </w:tcPr>
          <w:p w:rsidR="00434F56" w:rsidRPr="00434F56" w:rsidRDefault="00A177F1" w:rsidP="004C253C">
            <w:pPr>
              <w:pStyle w:val="Naslov1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Active ingredients</w:t>
            </w:r>
          </w:p>
        </w:tc>
        <w:tc>
          <w:tcPr>
            <w:tcW w:w="4536" w:type="dxa"/>
            <w:hideMark/>
          </w:tcPr>
          <w:p w:rsidR="00434F56" w:rsidRPr="00434F56" w:rsidRDefault="00A177F1" w:rsidP="00A177F1">
            <w:pPr>
              <w:pStyle w:val="Naslov1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</w:t>
            </w:r>
            <w:r w:rsidR="00434F56" w:rsidRPr="00434F56">
              <w:rPr>
                <w:rFonts w:cs="Arial"/>
                <w:sz w:val="22"/>
                <w:szCs w:val="22"/>
              </w:rPr>
              <w:t xml:space="preserve"> 1 tablet a</w:t>
            </w:r>
            <w:r>
              <w:rPr>
                <w:rFonts w:cs="Arial"/>
                <w:sz w:val="22"/>
                <w:szCs w:val="22"/>
              </w:rPr>
              <w:t>nd</w:t>
            </w:r>
            <w:r w:rsidR="00434F56" w:rsidRPr="00434F56">
              <w:rPr>
                <w:rFonts w:cs="Arial"/>
                <w:sz w:val="22"/>
                <w:szCs w:val="22"/>
              </w:rPr>
              <w:t xml:space="preserve"> % R</w:t>
            </w:r>
            <w:r>
              <w:rPr>
                <w:rFonts w:cs="Arial"/>
                <w:sz w:val="22"/>
                <w:szCs w:val="22"/>
              </w:rPr>
              <w:t>I</w:t>
            </w:r>
            <w:r w:rsidR="00434F56" w:rsidRPr="00434F56">
              <w:rPr>
                <w:rFonts w:cs="Arial"/>
                <w:sz w:val="22"/>
                <w:szCs w:val="22"/>
              </w:rPr>
              <w:t>*</w:t>
            </w:r>
          </w:p>
        </w:tc>
      </w:tr>
      <w:tr w:rsidR="00434F56" w:rsidRPr="00434F56" w:rsidTr="0039467A">
        <w:tc>
          <w:tcPr>
            <w:tcW w:w="4219" w:type="dxa"/>
            <w:hideMark/>
          </w:tcPr>
          <w:p w:rsidR="00434F56" w:rsidRPr="00434F56" w:rsidRDefault="00434F56" w:rsidP="00434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F56">
              <w:rPr>
                <w:rFonts w:ascii="Arial" w:hAnsi="Arial" w:cs="Arial"/>
              </w:rPr>
              <w:t>biotin</w:t>
            </w:r>
          </w:p>
        </w:tc>
        <w:tc>
          <w:tcPr>
            <w:tcW w:w="4536" w:type="dxa"/>
            <w:hideMark/>
          </w:tcPr>
          <w:p w:rsidR="00434F56" w:rsidRPr="00434F56" w:rsidRDefault="0085192A" w:rsidP="008C4A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</w:t>
            </w:r>
            <w:r w:rsidR="008C4A96">
              <w:rPr>
                <w:rFonts w:ascii="Arial" w:hAnsi="Arial" w:cs="Arial"/>
              </w:rPr>
              <w:t>µ</w:t>
            </w:r>
            <w:r w:rsidRPr="00434F56">
              <w:rPr>
                <w:rFonts w:ascii="Arial" w:hAnsi="Arial" w:cs="Arial"/>
              </w:rPr>
              <w:t>g</w:t>
            </w:r>
            <w:r w:rsidR="00434F56" w:rsidRPr="00434F56">
              <w:rPr>
                <w:rFonts w:ascii="Arial" w:hAnsi="Arial" w:cs="Arial"/>
              </w:rPr>
              <w:t xml:space="preserve"> (100 %)</w:t>
            </w:r>
          </w:p>
        </w:tc>
      </w:tr>
      <w:tr w:rsidR="00434F56" w:rsidRPr="00434F56" w:rsidTr="0039467A">
        <w:tc>
          <w:tcPr>
            <w:tcW w:w="4219" w:type="dxa"/>
            <w:hideMark/>
          </w:tcPr>
          <w:p w:rsidR="00434F56" w:rsidRPr="00434F56" w:rsidRDefault="00434F56" w:rsidP="00434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F56">
              <w:rPr>
                <w:rFonts w:ascii="Arial" w:hAnsi="Arial" w:cs="Arial"/>
              </w:rPr>
              <w:t>vitamin B1</w:t>
            </w:r>
          </w:p>
        </w:tc>
        <w:tc>
          <w:tcPr>
            <w:tcW w:w="4536" w:type="dxa"/>
            <w:hideMark/>
          </w:tcPr>
          <w:p w:rsidR="00434F56" w:rsidRPr="00434F56" w:rsidRDefault="00434F56" w:rsidP="008519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F56">
              <w:rPr>
                <w:rFonts w:ascii="Arial" w:hAnsi="Arial" w:cs="Arial"/>
              </w:rPr>
              <w:t>1,1 mg (100 %)</w:t>
            </w:r>
          </w:p>
        </w:tc>
      </w:tr>
      <w:tr w:rsidR="00434F56" w:rsidRPr="00434F56" w:rsidTr="0039467A">
        <w:tc>
          <w:tcPr>
            <w:tcW w:w="4219" w:type="dxa"/>
            <w:hideMark/>
          </w:tcPr>
          <w:p w:rsidR="00434F56" w:rsidRPr="00434F56" w:rsidRDefault="00434F56" w:rsidP="00434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F56">
              <w:rPr>
                <w:rFonts w:ascii="Arial" w:hAnsi="Arial" w:cs="Arial"/>
              </w:rPr>
              <w:t>vitamin B2</w:t>
            </w:r>
          </w:p>
        </w:tc>
        <w:tc>
          <w:tcPr>
            <w:tcW w:w="4536" w:type="dxa"/>
            <w:hideMark/>
          </w:tcPr>
          <w:p w:rsidR="00434F56" w:rsidRPr="00434F56" w:rsidRDefault="00434F56" w:rsidP="008519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F56">
              <w:rPr>
                <w:rFonts w:ascii="Arial" w:hAnsi="Arial" w:cs="Arial"/>
              </w:rPr>
              <w:t>1,4 mg (100 %)</w:t>
            </w:r>
          </w:p>
        </w:tc>
      </w:tr>
      <w:tr w:rsidR="00434F56" w:rsidRPr="00434F56" w:rsidTr="0039467A">
        <w:tc>
          <w:tcPr>
            <w:tcW w:w="4219" w:type="dxa"/>
            <w:hideMark/>
          </w:tcPr>
          <w:p w:rsidR="00434F56" w:rsidRPr="00434F56" w:rsidRDefault="00434F56" w:rsidP="00434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F56">
              <w:rPr>
                <w:rFonts w:ascii="Arial" w:hAnsi="Arial" w:cs="Arial"/>
              </w:rPr>
              <w:t>vitamin B6</w:t>
            </w:r>
          </w:p>
        </w:tc>
        <w:tc>
          <w:tcPr>
            <w:tcW w:w="4536" w:type="dxa"/>
            <w:hideMark/>
          </w:tcPr>
          <w:p w:rsidR="00434F56" w:rsidRPr="00434F56" w:rsidRDefault="00434F56" w:rsidP="008519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F56">
              <w:rPr>
                <w:rFonts w:ascii="Arial" w:hAnsi="Arial" w:cs="Arial"/>
              </w:rPr>
              <w:t>1,4 mg (100 %)</w:t>
            </w:r>
          </w:p>
        </w:tc>
      </w:tr>
      <w:tr w:rsidR="00434F56" w:rsidRPr="00434F56" w:rsidTr="0039467A">
        <w:tc>
          <w:tcPr>
            <w:tcW w:w="4219" w:type="dxa"/>
            <w:hideMark/>
          </w:tcPr>
          <w:p w:rsidR="00434F56" w:rsidRPr="00434F56" w:rsidRDefault="00434F56" w:rsidP="00434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F56">
              <w:rPr>
                <w:rFonts w:ascii="Arial" w:hAnsi="Arial" w:cs="Arial"/>
              </w:rPr>
              <w:t>vitamin B12</w:t>
            </w:r>
          </w:p>
        </w:tc>
        <w:tc>
          <w:tcPr>
            <w:tcW w:w="4536" w:type="dxa"/>
            <w:hideMark/>
          </w:tcPr>
          <w:p w:rsidR="00434F56" w:rsidRPr="00434F56" w:rsidRDefault="008C4A96" w:rsidP="008519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 µ</w:t>
            </w:r>
            <w:r w:rsidR="00434F56" w:rsidRPr="00434F56">
              <w:rPr>
                <w:rFonts w:ascii="Arial" w:hAnsi="Arial" w:cs="Arial"/>
              </w:rPr>
              <w:t>g (100 %)</w:t>
            </w:r>
          </w:p>
        </w:tc>
      </w:tr>
      <w:tr w:rsidR="00434F56" w:rsidRPr="00434F56" w:rsidTr="0039467A">
        <w:tc>
          <w:tcPr>
            <w:tcW w:w="4219" w:type="dxa"/>
            <w:hideMark/>
          </w:tcPr>
          <w:p w:rsidR="00434F56" w:rsidRPr="00434F56" w:rsidRDefault="00434F56" w:rsidP="00A17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F56">
              <w:rPr>
                <w:rFonts w:ascii="Arial" w:hAnsi="Arial" w:cs="Arial"/>
              </w:rPr>
              <w:t>ni</w:t>
            </w:r>
            <w:r w:rsidR="00A177F1">
              <w:rPr>
                <w:rFonts w:ascii="Arial" w:hAnsi="Arial" w:cs="Arial"/>
              </w:rPr>
              <w:t>c</w:t>
            </w:r>
            <w:r w:rsidRPr="00434F56">
              <w:rPr>
                <w:rFonts w:ascii="Arial" w:hAnsi="Arial" w:cs="Arial"/>
              </w:rPr>
              <w:t>otinamid</w:t>
            </w:r>
            <w:r w:rsidR="008C4A96">
              <w:rPr>
                <w:rFonts w:ascii="Arial" w:hAnsi="Arial" w:cs="Arial"/>
              </w:rPr>
              <w:t>e</w:t>
            </w:r>
          </w:p>
        </w:tc>
        <w:tc>
          <w:tcPr>
            <w:tcW w:w="4536" w:type="dxa"/>
            <w:hideMark/>
          </w:tcPr>
          <w:p w:rsidR="00434F56" w:rsidRPr="00434F56" w:rsidRDefault="0085192A" w:rsidP="008519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434F56" w:rsidRPr="00434F56">
              <w:rPr>
                <w:rFonts w:ascii="Arial" w:hAnsi="Arial" w:cs="Arial"/>
              </w:rPr>
              <w:t xml:space="preserve"> mg (100 %)</w:t>
            </w:r>
          </w:p>
        </w:tc>
      </w:tr>
      <w:tr w:rsidR="00434F56" w:rsidRPr="00434F56" w:rsidTr="0039467A">
        <w:tc>
          <w:tcPr>
            <w:tcW w:w="4219" w:type="dxa"/>
            <w:hideMark/>
          </w:tcPr>
          <w:p w:rsidR="00434F56" w:rsidRPr="00434F56" w:rsidRDefault="00A177F1" w:rsidP="00A17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pantothenic acid</w:t>
            </w:r>
          </w:p>
        </w:tc>
        <w:tc>
          <w:tcPr>
            <w:tcW w:w="4536" w:type="dxa"/>
            <w:hideMark/>
          </w:tcPr>
          <w:p w:rsidR="00434F56" w:rsidRPr="00434F56" w:rsidRDefault="0085192A" w:rsidP="008519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34F56" w:rsidRPr="00434F56">
              <w:rPr>
                <w:rFonts w:ascii="Arial" w:hAnsi="Arial" w:cs="Arial"/>
              </w:rPr>
              <w:t xml:space="preserve"> mg (100 %)</w:t>
            </w:r>
          </w:p>
        </w:tc>
      </w:tr>
      <w:tr w:rsidR="00434F56" w:rsidRPr="00434F56" w:rsidTr="0039467A">
        <w:tc>
          <w:tcPr>
            <w:tcW w:w="4219" w:type="dxa"/>
            <w:hideMark/>
          </w:tcPr>
          <w:p w:rsidR="00434F56" w:rsidRPr="00434F56" w:rsidRDefault="00A177F1" w:rsidP="00A17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folic acid</w:t>
            </w:r>
          </w:p>
        </w:tc>
        <w:tc>
          <w:tcPr>
            <w:tcW w:w="4536" w:type="dxa"/>
            <w:hideMark/>
          </w:tcPr>
          <w:p w:rsidR="00434F56" w:rsidRPr="00434F56" w:rsidRDefault="009C2466" w:rsidP="00434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434F56" w:rsidRPr="00434F56">
              <w:rPr>
                <w:rFonts w:ascii="Arial" w:hAnsi="Arial" w:cs="Arial"/>
              </w:rPr>
              <w:t xml:space="preserve"> </w:t>
            </w:r>
            <w:r w:rsidR="008C4A96">
              <w:rPr>
                <w:rFonts w:ascii="Arial" w:hAnsi="Arial" w:cs="Arial"/>
              </w:rPr>
              <w:t>µ</w:t>
            </w:r>
            <w:r w:rsidRPr="00434F56">
              <w:rPr>
                <w:rFonts w:ascii="Arial" w:hAnsi="Arial" w:cs="Arial"/>
              </w:rPr>
              <w:t>g</w:t>
            </w:r>
            <w:r w:rsidR="00434F56" w:rsidRPr="00434F56">
              <w:rPr>
                <w:rFonts w:ascii="Arial" w:hAnsi="Arial" w:cs="Arial"/>
              </w:rPr>
              <w:t xml:space="preserve"> (100 %)</w:t>
            </w:r>
          </w:p>
        </w:tc>
      </w:tr>
      <w:tr w:rsidR="00434F56" w:rsidRPr="00434F56" w:rsidTr="0039467A">
        <w:tc>
          <w:tcPr>
            <w:tcW w:w="4219" w:type="dxa"/>
            <w:hideMark/>
          </w:tcPr>
          <w:p w:rsidR="00434F56" w:rsidRPr="00434F56" w:rsidRDefault="00434F56" w:rsidP="00434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F56">
              <w:rPr>
                <w:rFonts w:ascii="Arial" w:hAnsi="Arial" w:cs="Arial"/>
              </w:rPr>
              <w:t>vitamin C</w:t>
            </w:r>
          </w:p>
        </w:tc>
        <w:tc>
          <w:tcPr>
            <w:tcW w:w="4536" w:type="dxa"/>
            <w:hideMark/>
          </w:tcPr>
          <w:p w:rsidR="00434F56" w:rsidRPr="00434F56" w:rsidRDefault="00434F56" w:rsidP="009C2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F56">
              <w:rPr>
                <w:rFonts w:ascii="Arial" w:hAnsi="Arial" w:cs="Arial"/>
              </w:rPr>
              <w:t>80 mg (100 %)</w:t>
            </w:r>
          </w:p>
        </w:tc>
      </w:tr>
      <w:tr w:rsidR="00434F56" w:rsidRPr="00434F56" w:rsidTr="0039467A">
        <w:tc>
          <w:tcPr>
            <w:tcW w:w="4219" w:type="dxa"/>
            <w:hideMark/>
          </w:tcPr>
          <w:p w:rsidR="00434F56" w:rsidRPr="00434F56" w:rsidRDefault="00434F56" w:rsidP="00434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F56">
              <w:rPr>
                <w:rFonts w:ascii="Arial" w:hAnsi="Arial" w:cs="Arial"/>
              </w:rPr>
              <w:t>vitamin E</w:t>
            </w:r>
          </w:p>
        </w:tc>
        <w:tc>
          <w:tcPr>
            <w:tcW w:w="4536" w:type="dxa"/>
            <w:hideMark/>
          </w:tcPr>
          <w:p w:rsidR="00434F56" w:rsidRPr="00434F56" w:rsidRDefault="00434F56" w:rsidP="009C2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F56">
              <w:rPr>
                <w:rFonts w:ascii="Arial" w:hAnsi="Arial" w:cs="Arial"/>
              </w:rPr>
              <w:t>12 mg (100 %)</w:t>
            </w:r>
          </w:p>
        </w:tc>
      </w:tr>
    </w:tbl>
    <w:p w:rsidR="00434F56" w:rsidRPr="00434F56" w:rsidRDefault="00434F56" w:rsidP="00AB14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4F56">
        <w:rPr>
          <w:rFonts w:ascii="Arial" w:hAnsi="Arial" w:cs="Arial"/>
        </w:rPr>
        <w:t>*refere</w:t>
      </w:r>
      <w:r w:rsidR="00A177F1">
        <w:rPr>
          <w:rFonts w:ascii="Arial" w:hAnsi="Arial" w:cs="Arial"/>
        </w:rPr>
        <w:t>nce intakes</w:t>
      </w:r>
    </w:p>
    <w:p w:rsidR="00434F56" w:rsidRPr="00E16438" w:rsidRDefault="00434F56" w:rsidP="00692A54">
      <w:pPr>
        <w:jc w:val="both"/>
        <w:rPr>
          <w:rFonts w:ascii="Arial" w:hAnsi="Arial" w:cs="Arial"/>
        </w:rPr>
      </w:pPr>
    </w:p>
    <w:p w:rsidR="00A13D6C" w:rsidRDefault="00A1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77F1">
        <w:rPr>
          <w:rFonts w:ascii="Arial" w:hAnsi="Arial" w:cs="Arial"/>
          <w:b/>
        </w:rPr>
        <w:t>Ingredients</w:t>
      </w:r>
      <w:r w:rsidR="00A13D6C" w:rsidRPr="00A177F1">
        <w:rPr>
          <w:rFonts w:ascii="Arial" w:hAnsi="Arial" w:cs="Arial"/>
          <w:b/>
        </w:rPr>
        <w:t>:</w:t>
      </w:r>
      <w:r w:rsidR="00A13D6C" w:rsidRPr="004740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filling agent</w:t>
      </w:r>
      <w:r w:rsidR="004C253C">
        <w:rPr>
          <w:rFonts w:ascii="Arial" w:hAnsi="Arial" w:cs="Arial"/>
        </w:rPr>
        <w:t xml:space="preserve"> – sorbitol, vitamin</w:t>
      </w:r>
      <w:r>
        <w:rPr>
          <w:rFonts w:ascii="Arial" w:hAnsi="Arial" w:cs="Arial"/>
        </w:rPr>
        <w:t xml:space="preserve"> premix (see the active ingredients</w:t>
      </w:r>
      <w:r w:rsidR="004C253C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anti-caking agents</w:t>
      </w:r>
      <w:r w:rsidR="004C253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magnesium stearate</w:t>
      </w:r>
      <w:r w:rsidR="004C253C">
        <w:rPr>
          <w:rFonts w:ascii="Arial" w:hAnsi="Arial" w:cs="Arial"/>
        </w:rPr>
        <w:t>, polyethylen</w:t>
      </w:r>
      <w:r>
        <w:rPr>
          <w:rFonts w:ascii="Arial" w:hAnsi="Arial" w:cs="Arial"/>
        </w:rPr>
        <w:t xml:space="preserve">e </w:t>
      </w:r>
      <w:r w:rsidR="004C253C">
        <w:rPr>
          <w:rFonts w:ascii="Arial" w:hAnsi="Arial" w:cs="Arial"/>
        </w:rPr>
        <w:t>gly</w:t>
      </w:r>
      <w:r>
        <w:rPr>
          <w:rFonts w:ascii="Arial" w:hAnsi="Arial" w:cs="Arial"/>
        </w:rPr>
        <w:t>c</w:t>
      </w:r>
      <w:r w:rsidR="004C253C">
        <w:rPr>
          <w:rFonts w:ascii="Arial" w:hAnsi="Arial" w:cs="Arial"/>
        </w:rPr>
        <w:t>ol (PEG 6000).</w:t>
      </w:r>
    </w:p>
    <w:p w:rsidR="00D818A1" w:rsidRDefault="00D818A1" w:rsidP="00D81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818A1" w:rsidRDefault="00A177F1" w:rsidP="00D81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Warning</w:t>
      </w:r>
      <w:r w:rsidR="00D818A1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D818A1">
        <w:rPr>
          <w:rFonts w:ascii="Arial" w:hAnsi="Arial" w:cs="Arial"/>
        </w:rPr>
        <w:t>k</w:t>
      </w:r>
      <w:r>
        <w:rPr>
          <w:rFonts w:ascii="Arial" w:hAnsi="Arial" w:cs="Arial"/>
        </w:rPr>
        <w:t>eep out of reach of children! Store in a dry place at a temperature up to</w:t>
      </w:r>
      <w:r w:rsidR="00D818A1">
        <w:rPr>
          <w:rFonts w:ascii="Arial" w:hAnsi="Arial" w:cs="Arial"/>
        </w:rPr>
        <w:t xml:space="preserve"> </w:t>
      </w:r>
      <w:r w:rsidR="00D818A1" w:rsidRPr="008B2608">
        <w:rPr>
          <w:rFonts w:ascii="Arial" w:hAnsi="Arial" w:cs="Arial"/>
        </w:rPr>
        <w:t>25</w:t>
      </w:r>
      <w:r w:rsidR="00D818A1" w:rsidRPr="008B2608">
        <w:rPr>
          <w:rFonts w:ascii="Arial" w:hAnsi="Arial" w:cs="Arial"/>
          <w:vertAlign w:val="superscript"/>
        </w:rPr>
        <w:t>°</w:t>
      </w:r>
      <w:r w:rsidR="00D818A1" w:rsidRPr="008B2608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, in a sealable container. Best before the end of the date indicated on the top of the packaging. </w:t>
      </w:r>
    </w:p>
    <w:p w:rsidR="008B2608" w:rsidRPr="008B2608" w:rsidRDefault="008B2608" w:rsidP="008B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D818A1" w:rsidRPr="00E16438" w:rsidRDefault="00D818A1" w:rsidP="00D81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35F5" w:rsidRPr="004835F5" w:rsidRDefault="00BC685F" w:rsidP="004835F5">
      <w:pPr>
        <w:pStyle w:val="Brezrazmikov"/>
        <w:rPr>
          <w:rFonts w:ascii="Arial" w:hAnsi="Arial" w:cs="Arial"/>
        </w:rPr>
      </w:pPr>
      <w:r>
        <w:rPr>
          <w:rFonts w:ascii="Arial" w:hAnsi="Arial" w:cs="Arial"/>
          <w:b/>
        </w:rPr>
        <w:t>Quantity</w:t>
      </w:r>
      <w:r w:rsidR="004835F5" w:rsidRPr="004835F5">
        <w:rPr>
          <w:rFonts w:ascii="Arial" w:hAnsi="Arial" w:cs="Arial"/>
          <w:b/>
        </w:rPr>
        <w:t>:</w:t>
      </w:r>
      <w:r w:rsidR="00D5176B">
        <w:rPr>
          <w:rFonts w:ascii="Arial" w:hAnsi="Arial" w:cs="Arial"/>
        </w:rPr>
        <w:t xml:space="preserve"> 30 tablet</w:t>
      </w:r>
      <w:r>
        <w:rPr>
          <w:rFonts w:ascii="Arial" w:hAnsi="Arial" w:cs="Arial"/>
        </w:rPr>
        <w:t>s</w:t>
      </w:r>
    </w:p>
    <w:p w:rsidR="004835F5" w:rsidRPr="004835F5" w:rsidRDefault="00BC685F" w:rsidP="004835F5">
      <w:pPr>
        <w:pStyle w:val="Brezrazmikov"/>
        <w:rPr>
          <w:rFonts w:ascii="Arial" w:hAnsi="Arial" w:cs="Arial"/>
        </w:rPr>
      </w:pPr>
      <w:r>
        <w:rPr>
          <w:rFonts w:ascii="Arial" w:hAnsi="Arial" w:cs="Arial"/>
          <w:b/>
        </w:rPr>
        <w:t>Weight of contents</w:t>
      </w:r>
      <w:r w:rsidR="004835F5" w:rsidRPr="004835F5">
        <w:rPr>
          <w:rFonts w:ascii="Arial" w:hAnsi="Arial" w:cs="Arial"/>
        </w:rPr>
        <w:t xml:space="preserve">: </w:t>
      </w:r>
      <w:smartTag w:uri="urn:schemas-microsoft-com:office:smarttags" w:element="metricconverter">
        <w:smartTagPr>
          <w:attr w:name="ProductID" w:val="22,8 g"/>
        </w:smartTagPr>
        <w:r w:rsidR="004835F5" w:rsidRPr="004835F5">
          <w:rPr>
            <w:rFonts w:ascii="Arial" w:hAnsi="Arial" w:cs="Arial"/>
          </w:rPr>
          <w:t>22,8 g</w:t>
        </w:r>
      </w:smartTag>
      <w:r w:rsidR="004835F5" w:rsidRPr="004835F5">
        <w:rPr>
          <w:rFonts w:ascii="Arial" w:hAnsi="Arial" w:cs="Arial"/>
        </w:rPr>
        <w:t xml:space="preserve">   </w:t>
      </w:r>
    </w:p>
    <w:p w:rsidR="004835F5" w:rsidRPr="004835F5" w:rsidRDefault="004835F5" w:rsidP="004835F5">
      <w:pPr>
        <w:pStyle w:val="Brezrazmikov"/>
        <w:rPr>
          <w:rFonts w:ascii="Arial" w:hAnsi="Arial" w:cs="Arial"/>
        </w:rPr>
      </w:pPr>
    </w:p>
    <w:p w:rsidR="004835F5" w:rsidRPr="004835F5" w:rsidRDefault="00BC685F" w:rsidP="004835F5">
      <w:pPr>
        <w:pStyle w:val="Brezrazmikov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>Producer</w:t>
      </w:r>
      <w:r w:rsidR="004835F5" w:rsidRPr="004835F5">
        <w:rPr>
          <w:rFonts w:ascii="Arial" w:hAnsi="Arial" w:cs="Arial"/>
          <w:b/>
          <w:lang w:val="sk-SK"/>
        </w:rPr>
        <w:t>:</w:t>
      </w:r>
      <w:r w:rsidR="004835F5" w:rsidRPr="004835F5">
        <w:rPr>
          <w:rFonts w:ascii="Arial" w:hAnsi="Arial" w:cs="Arial"/>
          <w:lang w:val="sk-SK"/>
        </w:rPr>
        <w:t xml:space="preserve"> </w:t>
      </w:r>
      <w:r w:rsidR="004835F5" w:rsidRPr="004835F5">
        <w:rPr>
          <w:rFonts w:ascii="Arial" w:hAnsi="Arial" w:cs="Arial"/>
          <w:b/>
          <w:lang w:val="sk-SK"/>
        </w:rPr>
        <w:t>VITAR, s.r.o.,</w:t>
      </w:r>
      <w:r w:rsidR="004835F5" w:rsidRPr="004835F5">
        <w:rPr>
          <w:rFonts w:ascii="Arial" w:hAnsi="Arial" w:cs="Arial"/>
          <w:lang w:val="sk-SK"/>
        </w:rPr>
        <w:t xml:space="preserve"> tř</w:t>
      </w:r>
      <w:r>
        <w:rPr>
          <w:rFonts w:ascii="Arial" w:hAnsi="Arial" w:cs="Arial"/>
          <w:lang w:val="sk-SK"/>
        </w:rPr>
        <w:t>ída</w:t>
      </w:r>
      <w:r w:rsidR="004835F5" w:rsidRPr="004835F5">
        <w:rPr>
          <w:rFonts w:ascii="Arial" w:hAnsi="Arial" w:cs="Arial"/>
          <w:lang w:val="sk-SK"/>
        </w:rPr>
        <w:t xml:space="preserve"> T</w:t>
      </w:r>
      <w:r>
        <w:rPr>
          <w:rFonts w:ascii="Arial" w:hAnsi="Arial" w:cs="Arial"/>
          <w:lang w:val="sk-SK"/>
        </w:rPr>
        <w:t>omáše</w:t>
      </w:r>
      <w:r w:rsidR="004835F5" w:rsidRPr="004835F5">
        <w:rPr>
          <w:rFonts w:ascii="Arial" w:hAnsi="Arial" w:cs="Arial"/>
          <w:lang w:val="sk-SK"/>
        </w:rPr>
        <w:t xml:space="preserve"> Bati</w:t>
      </w:r>
      <w:r>
        <w:rPr>
          <w:rFonts w:ascii="Arial" w:hAnsi="Arial" w:cs="Arial"/>
          <w:lang w:val="sk-SK"/>
        </w:rPr>
        <w:t xml:space="preserve"> 385, 763 02 Zlín, Czech Republic</w:t>
      </w:r>
      <w:r w:rsidR="004835F5" w:rsidRPr="004835F5">
        <w:rPr>
          <w:rFonts w:ascii="Arial" w:hAnsi="Arial" w:cs="Arial"/>
          <w:lang w:val="sk-SK"/>
        </w:rPr>
        <w:t xml:space="preserve">, </w:t>
      </w:r>
      <w:hyperlink r:id="rId6" w:history="1">
        <w:r w:rsidR="004835F5" w:rsidRPr="004835F5">
          <w:rPr>
            <w:rStyle w:val="Hiperpovezava"/>
            <w:rFonts w:ascii="Arial" w:hAnsi="Arial" w:cs="Arial"/>
            <w:lang w:val="sk-SK"/>
          </w:rPr>
          <w:t>www.vitar.</w:t>
        </w:r>
      </w:hyperlink>
      <w:r>
        <w:rPr>
          <w:rStyle w:val="Hiperpovezava"/>
          <w:rFonts w:ascii="Arial" w:hAnsi="Arial" w:cs="Arial"/>
          <w:lang w:val="sk-SK"/>
        </w:rPr>
        <w:t xml:space="preserve">eu </w:t>
      </w:r>
      <w:r w:rsidR="004835F5" w:rsidRPr="004835F5">
        <w:rPr>
          <w:rFonts w:ascii="Arial" w:hAnsi="Arial" w:cs="Arial"/>
          <w:lang w:val="sk-SK"/>
        </w:rPr>
        <w:t xml:space="preserve"> </w:t>
      </w:r>
    </w:p>
    <w:p w:rsidR="00692A54" w:rsidRDefault="00692A54" w:rsidP="004835F5">
      <w:pPr>
        <w:pStyle w:val="Brezrazmikov"/>
        <w:rPr>
          <w:rFonts w:ascii="Arial" w:hAnsi="Arial" w:cs="Arial"/>
          <w:color w:val="FF0000"/>
        </w:rPr>
      </w:pPr>
    </w:p>
    <w:p w:rsidR="008F65A1" w:rsidRDefault="008F65A1" w:rsidP="004835F5">
      <w:pPr>
        <w:pStyle w:val="Brezrazmikov"/>
        <w:rPr>
          <w:rFonts w:ascii="Arial" w:hAnsi="Arial" w:cs="Arial"/>
          <w:color w:val="FF0000"/>
        </w:rPr>
      </w:pPr>
    </w:p>
    <w:p w:rsidR="008F65A1" w:rsidRPr="008F65A1" w:rsidRDefault="008F65A1" w:rsidP="008F65A1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MaxiVita</w:t>
      </w:r>
      <w:r w:rsidRPr="008F65A1">
        <w:rPr>
          <w:color w:val="FF0000"/>
          <w:sz w:val="32"/>
          <w:szCs w:val="32"/>
        </w:rPr>
        <w:t xml:space="preserve"> MULTIVITAMIN</w:t>
      </w:r>
    </w:p>
    <w:p w:rsidR="008F65A1" w:rsidRPr="008F65A1" w:rsidRDefault="008F65A1" w:rsidP="008F65A1">
      <w:pPr>
        <w:rPr>
          <w:rFonts w:ascii="Arial" w:hAnsi="Arial" w:cs="Arial"/>
          <w:color w:val="FF0000"/>
        </w:rPr>
      </w:pPr>
      <w:r w:rsidRPr="008F65A1">
        <w:rPr>
          <w:rFonts w:ascii="Arial" w:hAnsi="Arial" w:cs="Arial"/>
          <w:color w:val="FF0000"/>
        </w:rPr>
        <w:t>PREHRANSKO DOPOLNILO Z VITAMINI, S SLADILOM</w:t>
      </w:r>
    </w:p>
    <w:p w:rsidR="008F65A1" w:rsidRPr="008F65A1" w:rsidRDefault="008F65A1" w:rsidP="008F65A1">
      <w:pPr>
        <w:rPr>
          <w:rFonts w:ascii="Arial" w:hAnsi="Arial" w:cs="Arial"/>
          <w:color w:val="FF0000"/>
        </w:rPr>
      </w:pPr>
      <w:r w:rsidRPr="008F65A1">
        <w:rPr>
          <w:rFonts w:ascii="Arial" w:hAnsi="Arial" w:cs="Arial"/>
          <w:color w:val="FF0000"/>
        </w:rPr>
        <w:t xml:space="preserve">30  tablet, </w:t>
      </w:r>
    </w:p>
    <w:p w:rsidR="008F65A1" w:rsidRPr="008F65A1" w:rsidRDefault="008F65A1" w:rsidP="008F65A1">
      <w:pPr>
        <w:rPr>
          <w:rFonts w:ascii="Arial" w:hAnsi="Arial" w:cs="Arial"/>
          <w:color w:val="FF0000"/>
        </w:rPr>
      </w:pPr>
      <w:r w:rsidRPr="008F65A1">
        <w:rPr>
          <w:rFonts w:ascii="Arial" w:hAnsi="Arial" w:cs="Arial"/>
          <w:color w:val="FF0000"/>
        </w:rPr>
        <w:t>Odrasli in otroci stari več kot 12 let:  1tableta na dan , po obroku, popije se z dovoljno količino vode. Dnevnega odmerka se ne sme prekoračiti.</w:t>
      </w:r>
    </w:p>
    <w:p w:rsidR="008F65A1" w:rsidRPr="008F65A1" w:rsidRDefault="008F65A1" w:rsidP="008F65A1">
      <w:pPr>
        <w:rPr>
          <w:rFonts w:ascii="Arial" w:hAnsi="Arial" w:cs="Arial"/>
          <w:color w:val="FF0000"/>
        </w:rPr>
      </w:pPr>
      <w:r w:rsidRPr="008F65A1">
        <w:rPr>
          <w:rFonts w:ascii="Arial" w:hAnsi="Arial" w:cs="Arial"/>
          <w:color w:val="FF0000"/>
        </w:rPr>
        <w:t>Prehransko dopolnilo ni nadomestilo za uravnoteženo in raznovrstno prehrano.</w:t>
      </w:r>
    </w:p>
    <w:p w:rsidR="008F65A1" w:rsidRPr="008F65A1" w:rsidRDefault="008F65A1" w:rsidP="008F65A1">
      <w:pPr>
        <w:rPr>
          <w:color w:val="FF0000"/>
          <w:sz w:val="24"/>
          <w:szCs w:val="24"/>
        </w:rPr>
      </w:pPr>
      <w:r w:rsidRPr="008F65A1">
        <w:rPr>
          <w:color w:val="FF0000"/>
          <w:sz w:val="24"/>
          <w:szCs w:val="24"/>
        </w:rPr>
        <w:t>Pomembno je uživanje raznolike in uravnotežene prehrane ter skrbeti za zdrav način življenja.</w:t>
      </w:r>
    </w:p>
    <w:p w:rsidR="008F65A1" w:rsidRPr="008F65A1" w:rsidRDefault="008F65A1" w:rsidP="008F65A1">
      <w:pPr>
        <w:rPr>
          <w:color w:val="FF0000"/>
          <w:sz w:val="24"/>
          <w:szCs w:val="24"/>
        </w:rPr>
      </w:pPr>
      <w:r w:rsidRPr="008F65A1">
        <w:rPr>
          <w:color w:val="FF0000"/>
          <w:sz w:val="24"/>
          <w:szCs w:val="24"/>
        </w:rPr>
        <w:t>Primerno tudi za diabetike.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  <w:gridCol w:w="4536"/>
      </w:tblGrid>
      <w:tr w:rsidR="008F65A1" w:rsidRPr="008F65A1" w:rsidTr="002F22E5">
        <w:tc>
          <w:tcPr>
            <w:tcW w:w="4219" w:type="dxa"/>
            <w:hideMark/>
          </w:tcPr>
          <w:p w:rsidR="008F65A1" w:rsidRPr="008F65A1" w:rsidRDefault="008F65A1" w:rsidP="002F22E5">
            <w:pPr>
              <w:pStyle w:val="Naslov1"/>
              <w:outlineLvl w:val="0"/>
              <w:rPr>
                <w:rFonts w:cs="Arial"/>
                <w:color w:val="FF0000"/>
                <w:sz w:val="22"/>
                <w:szCs w:val="22"/>
              </w:rPr>
            </w:pPr>
            <w:r w:rsidRPr="008F65A1">
              <w:rPr>
                <w:rFonts w:cs="Arial"/>
                <w:color w:val="FF0000"/>
                <w:sz w:val="22"/>
                <w:szCs w:val="22"/>
              </w:rPr>
              <w:t>vitamini</w:t>
            </w:r>
          </w:p>
        </w:tc>
        <w:tc>
          <w:tcPr>
            <w:tcW w:w="4536" w:type="dxa"/>
            <w:hideMark/>
          </w:tcPr>
          <w:p w:rsidR="008F65A1" w:rsidRPr="008F65A1" w:rsidRDefault="008F65A1" w:rsidP="002F22E5">
            <w:pPr>
              <w:pStyle w:val="Naslov1"/>
              <w:outlineLvl w:val="0"/>
              <w:rPr>
                <w:rFonts w:cs="Arial"/>
                <w:color w:val="FF0000"/>
                <w:sz w:val="22"/>
                <w:szCs w:val="22"/>
              </w:rPr>
            </w:pPr>
            <w:r w:rsidRPr="008F65A1">
              <w:rPr>
                <w:rFonts w:cs="Arial"/>
                <w:color w:val="FF0000"/>
                <w:sz w:val="22"/>
                <w:szCs w:val="22"/>
              </w:rPr>
              <w:t>v 1 tableti in % PDV*</w:t>
            </w:r>
          </w:p>
        </w:tc>
      </w:tr>
      <w:tr w:rsidR="008F65A1" w:rsidRPr="008F65A1" w:rsidTr="002F22E5">
        <w:tc>
          <w:tcPr>
            <w:tcW w:w="4219" w:type="dxa"/>
            <w:hideMark/>
          </w:tcPr>
          <w:p w:rsidR="008F65A1" w:rsidRPr="008F65A1" w:rsidRDefault="008F65A1" w:rsidP="002F2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8F65A1">
              <w:rPr>
                <w:rFonts w:ascii="Arial" w:hAnsi="Arial" w:cs="Arial"/>
                <w:color w:val="FF0000"/>
              </w:rPr>
              <w:t>biotin</w:t>
            </w:r>
          </w:p>
        </w:tc>
        <w:tc>
          <w:tcPr>
            <w:tcW w:w="4536" w:type="dxa"/>
            <w:hideMark/>
          </w:tcPr>
          <w:p w:rsidR="008F65A1" w:rsidRPr="008F65A1" w:rsidRDefault="008F65A1" w:rsidP="002F2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8F65A1">
              <w:rPr>
                <w:rFonts w:ascii="Arial" w:hAnsi="Arial" w:cs="Arial"/>
                <w:color w:val="FF0000"/>
              </w:rPr>
              <w:t>50 µg (100 %)</w:t>
            </w:r>
          </w:p>
        </w:tc>
      </w:tr>
      <w:tr w:rsidR="008F65A1" w:rsidRPr="008F65A1" w:rsidTr="002F22E5">
        <w:tc>
          <w:tcPr>
            <w:tcW w:w="4219" w:type="dxa"/>
            <w:hideMark/>
          </w:tcPr>
          <w:p w:rsidR="008F65A1" w:rsidRPr="008F65A1" w:rsidRDefault="008F65A1" w:rsidP="002F2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8F65A1">
              <w:rPr>
                <w:rFonts w:ascii="Arial" w:hAnsi="Arial" w:cs="Arial"/>
                <w:color w:val="FF0000"/>
              </w:rPr>
              <w:t>vitamin B1</w:t>
            </w:r>
          </w:p>
        </w:tc>
        <w:tc>
          <w:tcPr>
            <w:tcW w:w="4536" w:type="dxa"/>
            <w:hideMark/>
          </w:tcPr>
          <w:p w:rsidR="008F65A1" w:rsidRPr="008F65A1" w:rsidRDefault="008F65A1" w:rsidP="002F2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8F65A1">
              <w:rPr>
                <w:rFonts w:ascii="Arial" w:hAnsi="Arial" w:cs="Arial"/>
                <w:color w:val="FF0000"/>
              </w:rPr>
              <w:t>1,1 mg (100 %)</w:t>
            </w:r>
          </w:p>
        </w:tc>
      </w:tr>
      <w:tr w:rsidR="008F65A1" w:rsidRPr="008F65A1" w:rsidTr="002F22E5">
        <w:tc>
          <w:tcPr>
            <w:tcW w:w="4219" w:type="dxa"/>
            <w:hideMark/>
          </w:tcPr>
          <w:p w:rsidR="008F65A1" w:rsidRPr="008F65A1" w:rsidRDefault="008F65A1" w:rsidP="002F2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8F65A1">
              <w:rPr>
                <w:rFonts w:ascii="Arial" w:hAnsi="Arial" w:cs="Arial"/>
                <w:color w:val="FF0000"/>
              </w:rPr>
              <w:t>vitamin B2</w:t>
            </w:r>
          </w:p>
        </w:tc>
        <w:tc>
          <w:tcPr>
            <w:tcW w:w="4536" w:type="dxa"/>
            <w:hideMark/>
          </w:tcPr>
          <w:p w:rsidR="008F65A1" w:rsidRPr="008F65A1" w:rsidRDefault="008F65A1" w:rsidP="002F2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8F65A1">
              <w:rPr>
                <w:rFonts w:ascii="Arial" w:hAnsi="Arial" w:cs="Arial"/>
                <w:color w:val="FF0000"/>
              </w:rPr>
              <w:t>1,4 mg (100 %)</w:t>
            </w:r>
          </w:p>
        </w:tc>
      </w:tr>
      <w:tr w:rsidR="008F65A1" w:rsidRPr="008F65A1" w:rsidTr="002F22E5">
        <w:tc>
          <w:tcPr>
            <w:tcW w:w="4219" w:type="dxa"/>
            <w:hideMark/>
          </w:tcPr>
          <w:p w:rsidR="008F65A1" w:rsidRPr="008F65A1" w:rsidRDefault="008F65A1" w:rsidP="002F2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8F65A1">
              <w:rPr>
                <w:rFonts w:ascii="Arial" w:hAnsi="Arial" w:cs="Arial"/>
                <w:color w:val="FF0000"/>
              </w:rPr>
              <w:t>vitamin B6</w:t>
            </w:r>
          </w:p>
        </w:tc>
        <w:tc>
          <w:tcPr>
            <w:tcW w:w="4536" w:type="dxa"/>
            <w:hideMark/>
          </w:tcPr>
          <w:p w:rsidR="008F65A1" w:rsidRPr="008F65A1" w:rsidRDefault="008F65A1" w:rsidP="002F2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8F65A1">
              <w:rPr>
                <w:rFonts w:ascii="Arial" w:hAnsi="Arial" w:cs="Arial"/>
                <w:color w:val="FF0000"/>
              </w:rPr>
              <w:t>1,4 mg (100 %)</w:t>
            </w:r>
          </w:p>
        </w:tc>
      </w:tr>
      <w:tr w:rsidR="008F65A1" w:rsidRPr="008F65A1" w:rsidTr="002F22E5">
        <w:tc>
          <w:tcPr>
            <w:tcW w:w="4219" w:type="dxa"/>
            <w:hideMark/>
          </w:tcPr>
          <w:p w:rsidR="008F65A1" w:rsidRPr="008F65A1" w:rsidRDefault="008F65A1" w:rsidP="002F2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8F65A1">
              <w:rPr>
                <w:rFonts w:ascii="Arial" w:hAnsi="Arial" w:cs="Arial"/>
                <w:color w:val="FF0000"/>
              </w:rPr>
              <w:t>vitamin B12</w:t>
            </w:r>
          </w:p>
        </w:tc>
        <w:tc>
          <w:tcPr>
            <w:tcW w:w="4536" w:type="dxa"/>
            <w:hideMark/>
          </w:tcPr>
          <w:p w:rsidR="008F65A1" w:rsidRPr="008F65A1" w:rsidRDefault="008F65A1" w:rsidP="002F2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8F65A1">
              <w:rPr>
                <w:rFonts w:ascii="Arial" w:hAnsi="Arial" w:cs="Arial"/>
                <w:color w:val="FF0000"/>
              </w:rPr>
              <w:t>2,5 µg (100 %)</w:t>
            </w:r>
          </w:p>
        </w:tc>
      </w:tr>
      <w:tr w:rsidR="008F65A1" w:rsidRPr="008F65A1" w:rsidTr="002F22E5">
        <w:tc>
          <w:tcPr>
            <w:tcW w:w="4219" w:type="dxa"/>
            <w:hideMark/>
          </w:tcPr>
          <w:p w:rsidR="008F65A1" w:rsidRPr="008F65A1" w:rsidRDefault="008F65A1" w:rsidP="002F2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8F65A1">
              <w:rPr>
                <w:rFonts w:ascii="Arial" w:hAnsi="Arial" w:cs="Arial"/>
                <w:color w:val="FF0000"/>
              </w:rPr>
              <w:t>nikotinamid</w:t>
            </w:r>
          </w:p>
        </w:tc>
        <w:tc>
          <w:tcPr>
            <w:tcW w:w="4536" w:type="dxa"/>
            <w:hideMark/>
          </w:tcPr>
          <w:p w:rsidR="008F65A1" w:rsidRPr="008F65A1" w:rsidRDefault="008F65A1" w:rsidP="002F2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8F65A1">
              <w:rPr>
                <w:rFonts w:ascii="Arial" w:hAnsi="Arial" w:cs="Arial"/>
                <w:color w:val="FF0000"/>
              </w:rPr>
              <w:t>16 mg (100 %)</w:t>
            </w:r>
          </w:p>
        </w:tc>
      </w:tr>
      <w:tr w:rsidR="008F65A1" w:rsidRPr="008F65A1" w:rsidTr="002F22E5">
        <w:tc>
          <w:tcPr>
            <w:tcW w:w="4219" w:type="dxa"/>
            <w:hideMark/>
          </w:tcPr>
          <w:p w:rsidR="008F65A1" w:rsidRPr="008F65A1" w:rsidRDefault="008F65A1" w:rsidP="002F2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8F65A1">
              <w:rPr>
                <w:rFonts w:ascii="Arial" w:hAnsi="Arial" w:cs="Arial"/>
                <w:color w:val="FF0000"/>
              </w:rPr>
              <w:t>Pantotenska kislina</w:t>
            </w:r>
          </w:p>
        </w:tc>
        <w:tc>
          <w:tcPr>
            <w:tcW w:w="4536" w:type="dxa"/>
            <w:hideMark/>
          </w:tcPr>
          <w:p w:rsidR="008F65A1" w:rsidRPr="008F65A1" w:rsidRDefault="008F65A1" w:rsidP="002F2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8F65A1">
              <w:rPr>
                <w:rFonts w:ascii="Arial" w:hAnsi="Arial" w:cs="Arial"/>
                <w:color w:val="FF0000"/>
              </w:rPr>
              <w:t>6 mg (100 %)</w:t>
            </w:r>
          </w:p>
        </w:tc>
      </w:tr>
      <w:tr w:rsidR="008F65A1" w:rsidRPr="008F65A1" w:rsidTr="002F22E5">
        <w:tc>
          <w:tcPr>
            <w:tcW w:w="4219" w:type="dxa"/>
            <w:hideMark/>
          </w:tcPr>
          <w:p w:rsidR="008F65A1" w:rsidRPr="008F65A1" w:rsidRDefault="008F65A1" w:rsidP="002F2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8F65A1">
              <w:rPr>
                <w:rFonts w:ascii="Arial" w:hAnsi="Arial" w:cs="Arial"/>
                <w:color w:val="FF0000"/>
              </w:rPr>
              <w:t>Folna kislina</w:t>
            </w:r>
          </w:p>
        </w:tc>
        <w:tc>
          <w:tcPr>
            <w:tcW w:w="4536" w:type="dxa"/>
            <w:hideMark/>
          </w:tcPr>
          <w:p w:rsidR="008F65A1" w:rsidRPr="008F65A1" w:rsidRDefault="008F65A1" w:rsidP="002F2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8F65A1">
              <w:rPr>
                <w:rFonts w:ascii="Arial" w:hAnsi="Arial" w:cs="Arial"/>
                <w:color w:val="FF0000"/>
              </w:rPr>
              <w:t>200 µg (100 %)</w:t>
            </w:r>
          </w:p>
        </w:tc>
      </w:tr>
      <w:tr w:rsidR="008F65A1" w:rsidRPr="008F65A1" w:rsidTr="002F22E5">
        <w:tc>
          <w:tcPr>
            <w:tcW w:w="4219" w:type="dxa"/>
            <w:hideMark/>
          </w:tcPr>
          <w:p w:rsidR="008F65A1" w:rsidRPr="008F65A1" w:rsidRDefault="008F65A1" w:rsidP="002F2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8F65A1">
              <w:rPr>
                <w:rFonts w:ascii="Arial" w:hAnsi="Arial" w:cs="Arial"/>
                <w:color w:val="FF0000"/>
              </w:rPr>
              <w:t>vitamin C</w:t>
            </w:r>
          </w:p>
        </w:tc>
        <w:tc>
          <w:tcPr>
            <w:tcW w:w="4536" w:type="dxa"/>
            <w:hideMark/>
          </w:tcPr>
          <w:p w:rsidR="008F65A1" w:rsidRPr="008F65A1" w:rsidRDefault="008F65A1" w:rsidP="002F2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8F65A1">
              <w:rPr>
                <w:rFonts w:ascii="Arial" w:hAnsi="Arial" w:cs="Arial"/>
                <w:color w:val="FF0000"/>
              </w:rPr>
              <w:t>80 mg (100 %)</w:t>
            </w:r>
          </w:p>
        </w:tc>
      </w:tr>
      <w:tr w:rsidR="008F65A1" w:rsidRPr="008F65A1" w:rsidTr="002F22E5">
        <w:tc>
          <w:tcPr>
            <w:tcW w:w="4219" w:type="dxa"/>
            <w:hideMark/>
          </w:tcPr>
          <w:p w:rsidR="008F65A1" w:rsidRPr="008F65A1" w:rsidRDefault="008F65A1" w:rsidP="002F2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8F65A1">
              <w:rPr>
                <w:rFonts w:ascii="Arial" w:hAnsi="Arial" w:cs="Arial"/>
                <w:color w:val="FF0000"/>
              </w:rPr>
              <w:t>vitamin E</w:t>
            </w:r>
          </w:p>
        </w:tc>
        <w:tc>
          <w:tcPr>
            <w:tcW w:w="4536" w:type="dxa"/>
            <w:hideMark/>
          </w:tcPr>
          <w:p w:rsidR="008F65A1" w:rsidRPr="008F65A1" w:rsidRDefault="008F65A1" w:rsidP="002F2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8F65A1">
              <w:rPr>
                <w:rFonts w:ascii="Arial" w:hAnsi="Arial" w:cs="Arial"/>
                <w:color w:val="FF0000"/>
              </w:rPr>
              <w:t>12 mg (100 %)</w:t>
            </w:r>
          </w:p>
        </w:tc>
      </w:tr>
    </w:tbl>
    <w:p w:rsidR="008F65A1" w:rsidRPr="008F65A1" w:rsidRDefault="008F65A1" w:rsidP="008F65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8F65A1">
        <w:rPr>
          <w:rFonts w:ascii="Arial" w:hAnsi="Arial" w:cs="Arial"/>
          <w:color w:val="FF0000"/>
        </w:rPr>
        <w:t>*priporočen dnevni vnos</w:t>
      </w:r>
    </w:p>
    <w:p w:rsidR="008F65A1" w:rsidRPr="008F65A1" w:rsidRDefault="008F65A1" w:rsidP="008F65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8F65A1" w:rsidRPr="008F65A1" w:rsidRDefault="008F65A1" w:rsidP="008F65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8F65A1">
        <w:rPr>
          <w:rFonts w:ascii="Arial" w:hAnsi="Arial" w:cs="Arial"/>
          <w:color w:val="FF0000"/>
        </w:rPr>
        <w:t>Ena tableta vsebuje 100% priporočenega vnosa pomembnih vitaminov.</w:t>
      </w:r>
    </w:p>
    <w:p w:rsidR="008F65A1" w:rsidRPr="008F65A1" w:rsidRDefault="008F65A1" w:rsidP="008F65A1">
      <w:pPr>
        <w:rPr>
          <w:rFonts w:ascii="Arial" w:hAnsi="Arial" w:cs="Arial"/>
          <w:color w:val="FF0000"/>
        </w:rPr>
      </w:pPr>
    </w:p>
    <w:p w:rsidR="008F65A1" w:rsidRPr="008F65A1" w:rsidRDefault="008F65A1" w:rsidP="008F65A1">
      <w:pPr>
        <w:rPr>
          <w:rFonts w:ascii="Arial" w:hAnsi="Arial" w:cs="Arial"/>
          <w:color w:val="FF0000"/>
          <w:sz w:val="24"/>
          <w:szCs w:val="24"/>
        </w:rPr>
      </w:pPr>
      <w:r w:rsidRPr="008F65A1">
        <w:rPr>
          <w:rFonts w:ascii="Arial" w:hAnsi="Arial" w:cs="Arial"/>
          <w:color w:val="FF0000"/>
          <w:sz w:val="24"/>
          <w:szCs w:val="24"/>
        </w:rPr>
        <w:t>Sestavine: sladilo:sorbitol, zmes vitaminov ( glej tabelo), sredstvo proto sprijemanju: magnezijev stearat, polietilen glikol;</w:t>
      </w:r>
    </w:p>
    <w:p w:rsidR="008F65A1" w:rsidRPr="008F65A1" w:rsidRDefault="008F65A1" w:rsidP="008F65A1">
      <w:pPr>
        <w:rPr>
          <w:rFonts w:ascii="Arial" w:hAnsi="Arial" w:cs="Arial"/>
          <w:color w:val="FF0000"/>
          <w:sz w:val="24"/>
          <w:szCs w:val="24"/>
        </w:rPr>
      </w:pPr>
      <w:r w:rsidRPr="008F65A1">
        <w:rPr>
          <w:rFonts w:ascii="Arial" w:hAnsi="Arial" w:cs="Arial"/>
          <w:b/>
          <w:color w:val="FF0000"/>
        </w:rPr>
        <w:t>Opozorilo:</w:t>
      </w:r>
      <w:r w:rsidRPr="008F65A1">
        <w:rPr>
          <w:rFonts w:ascii="Arial" w:hAnsi="Arial" w:cs="Arial"/>
          <w:color w:val="FF0000"/>
        </w:rPr>
        <w:t xml:space="preserve"> Prekomerno uživanje ima lahko odvajalni učinek. </w:t>
      </w:r>
      <w:bookmarkStart w:id="0" w:name="_GoBack"/>
      <w:bookmarkEnd w:id="0"/>
      <w:r w:rsidRPr="008F65A1">
        <w:rPr>
          <w:rFonts w:ascii="Arial" w:hAnsi="Arial" w:cs="Arial"/>
          <w:color w:val="FF0000"/>
        </w:rPr>
        <w:t>Shraniti nedosegljivo otrokom! Izdelek hranite v suhem prostoru na sobni temperaturi v zaprti embalaži.</w:t>
      </w:r>
    </w:p>
    <w:p w:rsidR="008F65A1" w:rsidRPr="008F65A1" w:rsidRDefault="008F65A1" w:rsidP="008F65A1">
      <w:pPr>
        <w:rPr>
          <w:rFonts w:ascii="Arial" w:hAnsi="Arial" w:cs="Arial"/>
          <w:color w:val="FF0000"/>
          <w:sz w:val="24"/>
          <w:szCs w:val="24"/>
        </w:rPr>
      </w:pPr>
      <w:r w:rsidRPr="008F65A1">
        <w:rPr>
          <w:rFonts w:ascii="Arial" w:hAnsi="Arial" w:cs="Arial"/>
          <w:color w:val="FF0000"/>
          <w:sz w:val="24"/>
          <w:szCs w:val="24"/>
        </w:rPr>
        <w:t>Neto količina 30 tablet</w:t>
      </w:r>
    </w:p>
    <w:p w:rsidR="008F65A1" w:rsidRPr="008F65A1" w:rsidRDefault="008F65A1" w:rsidP="008F65A1">
      <w:pPr>
        <w:rPr>
          <w:rFonts w:ascii="Arial" w:hAnsi="Arial" w:cs="Arial"/>
          <w:color w:val="FF0000"/>
          <w:sz w:val="24"/>
          <w:szCs w:val="24"/>
        </w:rPr>
      </w:pPr>
      <w:r w:rsidRPr="008F65A1">
        <w:rPr>
          <w:rFonts w:ascii="Arial" w:hAnsi="Arial" w:cs="Arial"/>
          <w:color w:val="FF0000"/>
          <w:sz w:val="24"/>
          <w:szCs w:val="24"/>
        </w:rPr>
        <w:t>Uporabno najmanj do datuma odtisnjenega na vrhu pakiranja.</w:t>
      </w:r>
    </w:p>
    <w:p w:rsidR="008F65A1" w:rsidRPr="002C7690" w:rsidRDefault="008F65A1" w:rsidP="008F65A1">
      <w:pPr>
        <w:rPr>
          <w:rFonts w:cs="Arial"/>
          <w:b/>
          <w:color w:val="FF0000"/>
          <w:lang w:val="sk-SK"/>
        </w:rPr>
      </w:pPr>
      <w:r w:rsidRPr="002C7690">
        <w:rPr>
          <w:rFonts w:cs="Arial"/>
          <w:b/>
          <w:color w:val="FF0000"/>
          <w:lang w:val="sk-SK"/>
        </w:rPr>
        <w:t>Proizvajalec:</w:t>
      </w:r>
      <w:r w:rsidRPr="002C7690">
        <w:rPr>
          <w:rFonts w:cs="Arial"/>
          <w:color w:val="FF0000"/>
          <w:lang w:val="sk-SK"/>
        </w:rPr>
        <w:t xml:space="preserve"> VITAR, s.r.o., CZ</w:t>
      </w:r>
    </w:p>
    <w:p w:rsidR="008F65A1" w:rsidRPr="002C7690" w:rsidRDefault="008F65A1" w:rsidP="008F65A1">
      <w:pPr>
        <w:rPr>
          <w:rFonts w:cs="Arial"/>
          <w:b/>
          <w:color w:val="FF0000"/>
          <w:lang w:val="sk-SK"/>
        </w:rPr>
      </w:pPr>
      <w:r w:rsidRPr="002C7690">
        <w:rPr>
          <w:rFonts w:cs="Arial"/>
          <w:b/>
          <w:color w:val="FF0000"/>
          <w:lang w:val="sk-SK"/>
        </w:rPr>
        <w:lastRenderedPageBreak/>
        <w:t xml:space="preserve">Distributer: </w:t>
      </w:r>
      <w:r w:rsidRPr="002C7690">
        <w:rPr>
          <w:rFonts w:cs="Arial"/>
          <w:color w:val="FF0000"/>
          <w:lang w:val="sk-SK"/>
        </w:rPr>
        <w:t xml:space="preserve">Merit HP d.o.o., Letališka cesta 3c, 1000 Ljubljana, </w:t>
      </w:r>
      <w:hyperlink r:id="rId7" w:history="1">
        <w:r w:rsidRPr="002C7690">
          <w:rPr>
            <w:color w:val="FF0000"/>
            <w:lang w:val="sk-SK"/>
          </w:rPr>
          <w:t>www.merit-international.si</w:t>
        </w:r>
      </w:hyperlink>
      <w:r w:rsidRPr="002C7690">
        <w:rPr>
          <w:rFonts w:cs="Arial"/>
          <w:b/>
          <w:color w:val="FF0000"/>
          <w:lang w:val="sk-SK"/>
        </w:rPr>
        <w:t xml:space="preserve">    </w:t>
      </w:r>
    </w:p>
    <w:p w:rsidR="008F65A1" w:rsidRPr="008F65A1" w:rsidRDefault="008F65A1" w:rsidP="008F65A1">
      <w:pPr>
        <w:rPr>
          <w:rFonts w:ascii="Arial" w:hAnsi="Arial" w:cs="Arial"/>
          <w:color w:val="FF0000"/>
          <w:sz w:val="24"/>
          <w:szCs w:val="24"/>
        </w:rPr>
      </w:pPr>
      <w:r w:rsidRPr="008F65A1">
        <w:rPr>
          <w:rFonts w:ascii="Arial" w:hAnsi="Arial" w:cs="Arial"/>
          <w:color w:val="FF0000"/>
          <w:sz w:val="24"/>
          <w:szCs w:val="24"/>
        </w:rPr>
        <w:t>Vitamin B1 ima vlogo pri delovanju srca.</w:t>
      </w:r>
    </w:p>
    <w:p w:rsidR="008F65A1" w:rsidRPr="008F65A1" w:rsidRDefault="008F65A1" w:rsidP="008F65A1">
      <w:pPr>
        <w:rPr>
          <w:rFonts w:ascii="Arial" w:hAnsi="Arial" w:cs="Arial"/>
          <w:color w:val="FF0000"/>
          <w:sz w:val="24"/>
          <w:szCs w:val="24"/>
        </w:rPr>
      </w:pPr>
      <w:r w:rsidRPr="008F65A1">
        <w:rPr>
          <w:rFonts w:ascii="Arial" w:hAnsi="Arial" w:cs="Arial"/>
          <w:color w:val="FF0000"/>
          <w:sz w:val="24"/>
          <w:szCs w:val="24"/>
        </w:rPr>
        <w:t>Vitamina B2 in B12 prispevata k delovanju živčnega sistema.</w:t>
      </w:r>
    </w:p>
    <w:p w:rsidR="008F65A1" w:rsidRPr="008F65A1" w:rsidRDefault="008F65A1" w:rsidP="008F65A1">
      <w:pPr>
        <w:rPr>
          <w:rFonts w:ascii="Arial" w:hAnsi="Arial" w:cs="Arial"/>
          <w:color w:val="FF0000"/>
        </w:rPr>
      </w:pPr>
      <w:r w:rsidRPr="008F65A1">
        <w:rPr>
          <w:rFonts w:ascii="Arial" w:hAnsi="Arial" w:cs="Arial"/>
          <w:color w:val="FF0000"/>
        </w:rPr>
        <w:t xml:space="preserve"> Vitamini B1, B6 ,B12 in C  prispevajo k normalnemu psihološkemu delovanju.</w:t>
      </w:r>
    </w:p>
    <w:p w:rsidR="008F65A1" w:rsidRPr="008F65A1" w:rsidRDefault="008F65A1" w:rsidP="008F65A1">
      <w:pPr>
        <w:rPr>
          <w:rFonts w:ascii="Arial" w:hAnsi="Arial" w:cs="Arial"/>
          <w:color w:val="FF0000"/>
        </w:rPr>
      </w:pPr>
      <w:r w:rsidRPr="008F65A1">
        <w:rPr>
          <w:rFonts w:ascii="Arial" w:hAnsi="Arial" w:cs="Arial"/>
          <w:color w:val="FF0000"/>
        </w:rPr>
        <w:t>Vitamini B6 , B12 in C imajo vlogo pri delovanju imunskega sistema.</w:t>
      </w:r>
    </w:p>
    <w:p w:rsidR="008F65A1" w:rsidRPr="008F65A1" w:rsidRDefault="008F65A1" w:rsidP="008F65A1">
      <w:pPr>
        <w:rPr>
          <w:rFonts w:ascii="Arial" w:hAnsi="Arial" w:cs="Arial"/>
          <w:color w:val="FF0000"/>
        </w:rPr>
      </w:pPr>
      <w:r w:rsidRPr="008F65A1">
        <w:rPr>
          <w:rFonts w:ascii="Arial" w:hAnsi="Arial" w:cs="Arial"/>
          <w:color w:val="FF0000"/>
        </w:rPr>
        <w:t>Vitamini B6 ,B12 in C prispevajo k zmanjševanju utrujenosti in izčrpanosti.</w:t>
      </w:r>
    </w:p>
    <w:p w:rsidR="008F65A1" w:rsidRPr="008F65A1" w:rsidRDefault="008F65A1" w:rsidP="008F65A1">
      <w:pPr>
        <w:rPr>
          <w:rFonts w:ascii="Arial" w:hAnsi="Arial" w:cs="Arial"/>
          <w:color w:val="FF0000"/>
        </w:rPr>
      </w:pPr>
    </w:p>
    <w:p w:rsidR="008F65A1" w:rsidRPr="008F65A1" w:rsidRDefault="008F65A1" w:rsidP="008F65A1">
      <w:pPr>
        <w:rPr>
          <w:rFonts w:ascii="Arial" w:hAnsi="Arial" w:cs="Arial"/>
          <w:color w:val="FF0000"/>
        </w:rPr>
      </w:pPr>
      <w:r w:rsidRPr="008F65A1">
        <w:rPr>
          <w:rFonts w:ascii="Arial" w:hAnsi="Arial" w:cs="Arial"/>
          <w:color w:val="FF0000"/>
        </w:rPr>
        <w:t>Vitamina C in E imata vlogo pri zaščiti celic pred oksidativnim stresom..</w:t>
      </w:r>
    </w:p>
    <w:p w:rsidR="008F65A1" w:rsidRPr="008F65A1" w:rsidRDefault="008F65A1" w:rsidP="004835F5">
      <w:pPr>
        <w:pStyle w:val="Brezrazmikov"/>
        <w:rPr>
          <w:rFonts w:ascii="Arial" w:hAnsi="Arial" w:cs="Arial"/>
          <w:color w:val="FF0000"/>
        </w:rPr>
      </w:pPr>
    </w:p>
    <w:sectPr w:rsidR="008F65A1" w:rsidRPr="008F65A1" w:rsidSect="00E879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3B1"/>
    <w:multiLevelType w:val="hybridMultilevel"/>
    <w:tmpl w:val="EDF8E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1B55"/>
    <w:multiLevelType w:val="hybridMultilevel"/>
    <w:tmpl w:val="A8ECDC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C06A3"/>
    <w:multiLevelType w:val="hybridMultilevel"/>
    <w:tmpl w:val="9E00122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7CDB"/>
    <w:multiLevelType w:val="multilevel"/>
    <w:tmpl w:val="D888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A4F2C"/>
    <w:multiLevelType w:val="hybridMultilevel"/>
    <w:tmpl w:val="B220E414"/>
    <w:lvl w:ilvl="0" w:tplc="BF1E8B20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A10A8"/>
    <w:multiLevelType w:val="multilevel"/>
    <w:tmpl w:val="8416AF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7D52BA"/>
    <w:multiLevelType w:val="hybridMultilevel"/>
    <w:tmpl w:val="950688CE"/>
    <w:lvl w:ilvl="0" w:tplc="5B82DCF0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25DB7"/>
    <w:multiLevelType w:val="hybridMultilevel"/>
    <w:tmpl w:val="1062D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D29E4"/>
    <w:multiLevelType w:val="hybridMultilevel"/>
    <w:tmpl w:val="B2947C5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989"/>
    <w:rsid w:val="0004259A"/>
    <w:rsid w:val="000523C9"/>
    <w:rsid w:val="00094FF0"/>
    <w:rsid w:val="000F5989"/>
    <w:rsid w:val="001016F9"/>
    <w:rsid w:val="00124F42"/>
    <w:rsid w:val="00136789"/>
    <w:rsid w:val="00184482"/>
    <w:rsid w:val="001C008B"/>
    <w:rsid w:val="001C0615"/>
    <w:rsid w:val="002073C8"/>
    <w:rsid w:val="00215E7F"/>
    <w:rsid w:val="00276A1A"/>
    <w:rsid w:val="00384B49"/>
    <w:rsid w:val="0039467A"/>
    <w:rsid w:val="003960C7"/>
    <w:rsid w:val="003A6A44"/>
    <w:rsid w:val="003E1AFB"/>
    <w:rsid w:val="00422F99"/>
    <w:rsid w:val="0043002A"/>
    <w:rsid w:val="00434F56"/>
    <w:rsid w:val="00462206"/>
    <w:rsid w:val="004740F4"/>
    <w:rsid w:val="004835F5"/>
    <w:rsid w:val="004A2C3B"/>
    <w:rsid w:val="004C253C"/>
    <w:rsid w:val="004F4D80"/>
    <w:rsid w:val="00692A54"/>
    <w:rsid w:val="006C54E9"/>
    <w:rsid w:val="00715041"/>
    <w:rsid w:val="00740147"/>
    <w:rsid w:val="007406B7"/>
    <w:rsid w:val="007C3E82"/>
    <w:rsid w:val="007E7079"/>
    <w:rsid w:val="007F47D1"/>
    <w:rsid w:val="008242CD"/>
    <w:rsid w:val="008419A9"/>
    <w:rsid w:val="0085192A"/>
    <w:rsid w:val="00856DA3"/>
    <w:rsid w:val="00883A86"/>
    <w:rsid w:val="008B2608"/>
    <w:rsid w:val="008C4A96"/>
    <w:rsid w:val="008C5845"/>
    <w:rsid w:val="008F0323"/>
    <w:rsid w:val="008F65A1"/>
    <w:rsid w:val="009C04FB"/>
    <w:rsid w:val="009C2466"/>
    <w:rsid w:val="009C51C3"/>
    <w:rsid w:val="009F5EEB"/>
    <w:rsid w:val="00A05A64"/>
    <w:rsid w:val="00A13D6C"/>
    <w:rsid w:val="00A177F1"/>
    <w:rsid w:val="00A4219B"/>
    <w:rsid w:val="00A53159"/>
    <w:rsid w:val="00A56E83"/>
    <w:rsid w:val="00AB145A"/>
    <w:rsid w:val="00AF5B01"/>
    <w:rsid w:val="00BA12DF"/>
    <w:rsid w:val="00BC685F"/>
    <w:rsid w:val="00BC6F07"/>
    <w:rsid w:val="00BD4758"/>
    <w:rsid w:val="00C027ED"/>
    <w:rsid w:val="00C765EC"/>
    <w:rsid w:val="00CD5E4D"/>
    <w:rsid w:val="00D5176B"/>
    <w:rsid w:val="00D66CA5"/>
    <w:rsid w:val="00D818A1"/>
    <w:rsid w:val="00DE4F50"/>
    <w:rsid w:val="00E16438"/>
    <w:rsid w:val="00E87924"/>
    <w:rsid w:val="00EC2B98"/>
    <w:rsid w:val="00ED7148"/>
    <w:rsid w:val="00F44556"/>
    <w:rsid w:val="00F57C63"/>
    <w:rsid w:val="00FA01D9"/>
    <w:rsid w:val="00FD2893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FCCCA1-8628-4734-BAAF-47FD24F9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7924"/>
  </w:style>
  <w:style w:type="paragraph" w:styleId="Naslov1">
    <w:name w:val="heading 1"/>
    <w:basedOn w:val="Navaden"/>
    <w:next w:val="Navaden"/>
    <w:link w:val="Naslov1Znak"/>
    <w:uiPriority w:val="9"/>
    <w:qFormat/>
    <w:rsid w:val="008B2608"/>
    <w:pPr>
      <w:keepNext/>
      <w:spacing w:after="0" w:line="240" w:lineRule="auto"/>
      <w:outlineLvl w:val="0"/>
    </w:pPr>
    <w:rPr>
      <w:rFonts w:ascii="Arial" w:hAnsi="Arial"/>
      <w:b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locked/>
    <w:rsid w:val="008B2608"/>
    <w:rPr>
      <w:rFonts w:ascii="Arial" w:hAnsi="Arial" w:cs="Times New Roman"/>
      <w:b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124F42"/>
    <w:pPr>
      <w:spacing w:before="100" w:beforeAutospacing="1" w:after="100" w:afterAutospacing="1" w:line="336" w:lineRule="atLeast"/>
    </w:pPr>
    <w:rPr>
      <w:rFonts w:ascii="Times New Roman" w:hAnsi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124F42"/>
    <w:rPr>
      <w:rFonts w:cs="Times New Roman"/>
      <w:color w:val="0000FF"/>
      <w:u w:val="single"/>
    </w:rPr>
  </w:style>
  <w:style w:type="paragraph" w:styleId="Brezrazmikov">
    <w:name w:val="No Spacing"/>
    <w:uiPriority w:val="1"/>
    <w:qFormat/>
    <w:rsid w:val="00F44556"/>
    <w:pPr>
      <w:spacing w:after="0" w:line="240" w:lineRule="auto"/>
    </w:pPr>
  </w:style>
  <w:style w:type="character" w:styleId="Krepko">
    <w:name w:val="Strong"/>
    <w:basedOn w:val="Privzetapisavaodstavka"/>
    <w:uiPriority w:val="22"/>
    <w:qFormat/>
    <w:rsid w:val="00434F56"/>
    <w:rPr>
      <w:b/>
      <w:bCs/>
    </w:rPr>
  </w:style>
  <w:style w:type="character" w:customStyle="1" w:styleId="apple-converted-space">
    <w:name w:val="apple-converted-space"/>
    <w:basedOn w:val="Privzetapisavaodstavka"/>
    <w:rsid w:val="00434F56"/>
  </w:style>
  <w:style w:type="table" w:styleId="Tabelamrea">
    <w:name w:val="Table Grid"/>
    <w:basedOn w:val="Navadnatabela"/>
    <w:uiPriority w:val="59"/>
    <w:rsid w:val="00AB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0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275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027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0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0273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40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40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40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40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40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40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40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40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40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rit-international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ta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2EB83-E67D-4388-A2F6-E17190FE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Vitar s.r.o.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Hlaváčková Jitka VITAR</dc:creator>
  <cp:lastModifiedBy>Nina Pilih Kreitmayer</cp:lastModifiedBy>
  <cp:revision>12</cp:revision>
  <cp:lastPrinted>2013-02-22T09:48:00Z</cp:lastPrinted>
  <dcterms:created xsi:type="dcterms:W3CDTF">2016-02-16T13:31:00Z</dcterms:created>
  <dcterms:modified xsi:type="dcterms:W3CDTF">2019-08-12T07:52:00Z</dcterms:modified>
</cp:coreProperties>
</file>